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AD7413">
      <w:pPr>
        <w:rPr>
          <w:rFonts w:ascii="Times New Roman" w:hAnsi="Times New Roman" w:cs="Times New Roman"/>
        </w:rPr>
      </w:pPr>
    </w:p>
    <w:p w14:paraId="0BBE3B57">
      <w:pPr>
        <w:rPr>
          <w:rFonts w:ascii="Times New Roman" w:hAnsi="Times New Roman" w:cs="Times New Roman"/>
        </w:rPr>
      </w:pPr>
    </w:p>
    <w:p w14:paraId="06F56535">
      <w:pPr>
        <w:rPr>
          <w:rFonts w:ascii="Times New Roman" w:hAnsi="Times New Roman" w:cs="Times New Roman"/>
        </w:rPr>
      </w:pPr>
    </w:p>
    <w:p w14:paraId="462F8D9A">
      <w:pPr>
        <w:rPr>
          <w:rFonts w:ascii="Times New Roman" w:hAnsi="Times New Roman" w:cs="Times New Roman"/>
        </w:rPr>
      </w:pPr>
    </w:p>
    <w:p w14:paraId="19A341D9">
      <w:pPr>
        <w:pStyle w:val="2"/>
        <w:jc w:val="both"/>
        <w:rPr>
          <w:rFonts w:hint="eastAsia" w:ascii="黑体" w:hAnsi="黑体" w:eastAsia="黑体" w:cs="黑体"/>
          <w:b w:val="0"/>
          <w:bCs w:val="0"/>
          <w:sz w:val="52"/>
          <w:szCs w:val="52"/>
        </w:rPr>
      </w:pPr>
    </w:p>
    <w:p w14:paraId="5FB8DF00">
      <w:pPr>
        <w:pStyle w:val="2"/>
        <w:ind w:firstLine="520" w:firstLineChars="100"/>
        <w:jc w:val="both"/>
        <w:rPr>
          <w:rFonts w:hint="eastAsia" w:ascii="黑体" w:hAnsi="黑体" w:eastAsia="黑体" w:cs="黑体"/>
          <w:b w:val="0"/>
          <w:bCs w:val="0"/>
          <w:sz w:val="52"/>
          <w:szCs w:val="52"/>
          <w:lang w:val="en-US" w:eastAsia="zh-CN"/>
        </w:rPr>
      </w:pPr>
      <w:r>
        <w:rPr>
          <w:rFonts w:hint="eastAsia" w:ascii="黑体" w:hAnsi="黑体" w:eastAsia="黑体" w:cs="黑体"/>
          <w:b w:val="0"/>
          <w:bCs w:val="0"/>
          <w:sz w:val="52"/>
          <w:szCs w:val="52"/>
        </w:rPr>
        <w:t>齐鲁工业大学</w:t>
      </w:r>
      <w:r>
        <w:rPr>
          <w:rFonts w:hint="eastAsia" w:ascii="黑体" w:hAnsi="黑体" w:eastAsia="黑体" w:cs="黑体"/>
          <w:b w:val="0"/>
          <w:bCs w:val="0"/>
          <w:sz w:val="52"/>
          <w:szCs w:val="52"/>
          <w:lang w:val="en-US" w:eastAsia="zh-CN"/>
        </w:rPr>
        <w:t>高等学历继续教育</w:t>
      </w:r>
    </w:p>
    <w:p w14:paraId="26CCF16D">
      <w:pPr>
        <w:pStyle w:val="2"/>
        <w:jc w:val="center"/>
        <w:rPr>
          <w:rFonts w:hint="eastAsia" w:ascii="黑体" w:hAnsi="黑体" w:eastAsia="黑体" w:cs="黑体"/>
          <w:b w:val="0"/>
          <w:bCs w:val="0"/>
          <w:sz w:val="48"/>
          <w:szCs w:val="48"/>
          <w:lang w:val="en-US" w:eastAsia="zh-CN"/>
        </w:rPr>
      </w:pPr>
      <w:r>
        <w:rPr>
          <w:rFonts w:hint="eastAsia" w:ascii="黑体" w:hAnsi="黑体" w:eastAsia="黑体" w:cs="黑体"/>
          <w:b w:val="0"/>
          <w:bCs w:val="0"/>
          <w:sz w:val="48"/>
          <w:szCs w:val="48"/>
          <w:lang w:val="en-US" w:eastAsia="zh-CN"/>
        </w:rPr>
        <w:t>电子竞技运动与管理</w:t>
      </w:r>
      <w:r>
        <w:rPr>
          <w:rFonts w:hint="eastAsia" w:ascii="黑体" w:hAnsi="黑体" w:eastAsia="黑体" w:cs="黑体"/>
          <w:b w:val="0"/>
          <w:bCs w:val="0"/>
          <w:sz w:val="48"/>
          <w:szCs w:val="48"/>
        </w:rPr>
        <w:t>专业</w:t>
      </w:r>
      <w:r>
        <w:rPr>
          <w:rFonts w:hint="eastAsia" w:ascii="黑体" w:hAnsi="黑体" w:eastAsia="黑体" w:cs="黑体"/>
          <w:b w:val="0"/>
          <w:bCs w:val="0"/>
          <w:sz w:val="48"/>
          <w:szCs w:val="48"/>
          <w:lang w:val="en-US" w:eastAsia="zh-CN"/>
        </w:rPr>
        <w:t>（专升本）</w:t>
      </w:r>
    </w:p>
    <w:p w14:paraId="1569EF3A">
      <w:pPr>
        <w:pStyle w:val="2"/>
        <w:jc w:val="center"/>
        <w:rPr>
          <w:rFonts w:hint="eastAsia" w:ascii="黑体" w:hAnsi="黑体" w:eastAsia="黑体" w:cs="黑体"/>
          <w:b w:val="0"/>
          <w:bCs w:val="0"/>
          <w:sz w:val="48"/>
          <w:szCs w:val="48"/>
        </w:rPr>
      </w:pPr>
      <w:r>
        <w:rPr>
          <w:rFonts w:hint="eastAsia" w:ascii="黑体" w:hAnsi="黑体" w:eastAsia="黑体" w:cs="黑体"/>
          <w:b w:val="0"/>
          <w:bCs w:val="0"/>
          <w:sz w:val="48"/>
          <w:szCs w:val="48"/>
        </w:rPr>
        <w:t>人才需求报告</w:t>
      </w:r>
    </w:p>
    <w:p w14:paraId="176D689D">
      <w:pPr>
        <w:rPr>
          <w:rFonts w:hint="eastAsia" w:ascii="黑体" w:hAnsi="黑体" w:eastAsia="黑体" w:cs="黑体"/>
          <w:b w:val="0"/>
          <w:bCs w:val="0"/>
          <w:sz w:val="48"/>
          <w:szCs w:val="48"/>
        </w:rPr>
      </w:pPr>
      <w:bookmarkStart w:id="1" w:name="_GoBack"/>
      <w:bookmarkEnd w:id="1"/>
    </w:p>
    <w:p w14:paraId="61091D19">
      <w:pPr>
        <w:rPr>
          <w:rFonts w:hint="eastAsia" w:ascii="黑体" w:hAnsi="黑体" w:eastAsia="黑体" w:cs="黑体"/>
          <w:b w:val="0"/>
          <w:bCs w:val="0"/>
          <w:sz w:val="48"/>
          <w:szCs w:val="48"/>
        </w:rPr>
      </w:pPr>
    </w:p>
    <w:p w14:paraId="181BB90D">
      <w:pPr>
        <w:rPr>
          <w:rFonts w:hint="eastAsia" w:ascii="黑体" w:hAnsi="黑体" w:eastAsia="黑体" w:cs="黑体"/>
          <w:b w:val="0"/>
          <w:bCs w:val="0"/>
          <w:sz w:val="48"/>
          <w:szCs w:val="48"/>
        </w:rPr>
      </w:pPr>
    </w:p>
    <w:p w14:paraId="0C353F71">
      <w:pPr>
        <w:rPr>
          <w:rFonts w:hint="eastAsia" w:ascii="黑体" w:hAnsi="黑体" w:eastAsia="黑体" w:cs="黑体"/>
          <w:b w:val="0"/>
          <w:bCs w:val="0"/>
          <w:sz w:val="48"/>
          <w:szCs w:val="48"/>
        </w:rPr>
      </w:pPr>
    </w:p>
    <w:p w14:paraId="2E965267">
      <w:pPr>
        <w:rPr>
          <w:rFonts w:hint="eastAsia" w:ascii="黑体" w:hAnsi="黑体" w:eastAsia="黑体" w:cs="黑体"/>
          <w:b w:val="0"/>
          <w:bCs w:val="0"/>
          <w:sz w:val="48"/>
          <w:szCs w:val="48"/>
        </w:rPr>
      </w:pPr>
    </w:p>
    <w:p w14:paraId="7E143836">
      <w:pPr>
        <w:rPr>
          <w:rFonts w:hint="eastAsia" w:ascii="黑体" w:hAnsi="黑体" w:eastAsia="黑体" w:cs="黑体"/>
          <w:b w:val="0"/>
          <w:bCs w:val="0"/>
          <w:sz w:val="48"/>
          <w:szCs w:val="48"/>
        </w:rPr>
      </w:pPr>
    </w:p>
    <w:p w14:paraId="4DA1E584">
      <w:pPr>
        <w:rPr>
          <w:rFonts w:hint="eastAsia" w:ascii="黑体" w:hAnsi="黑体" w:eastAsia="黑体" w:cs="黑体"/>
          <w:b w:val="0"/>
          <w:bCs w:val="0"/>
          <w:sz w:val="48"/>
          <w:szCs w:val="48"/>
        </w:rPr>
      </w:pPr>
    </w:p>
    <w:p w14:paraId="073B983C">
      <w:pPr>
        <w:rPr>
          <w:rFonts w:hint="eastAsia" w:ascii="黑体" w:hAnsi="黑体" w:eastAsia="黑体" w:cs="黑体"/>
          <w:b w:val="0"/>
          <w:bCs w:val="0"/>
          <w:sz w:val="48"/>
          <w:szCs w:val="48"/>
        </w:rPr>
      </w:pPr>
    </w:p>
    <w:p w14:paraId="69373862">
      <w:pPr>
        <w:rPr>
          <w:rFonts w:hint="eastAsia" w:ascii="黑体" w:hAnsi="黑体" w:eastAsia="黑体" w:cs="黑体"/>
          <w:b w:val="0"/>
          <w:bCs w:val="0"/>
          <w:sz w:val="48"/>
          <w:szCs w:val="48"/>
        </w:rPr>
      </w:pPr>
    </w:p>
    <w:p w14:paraId="1F0E0CCA">
      <w:pPr>
        <w:rPr>
          <w:rFonts w:hint="eastAsia" w:ascii="黑体" w:hAnsi="黑体" w:eastAsia="黑体" w:cs="黑体"/>
          <w:b w:val="0"/>
          <w:bCs w:val="0"/>
          <w:sz w:val="48"/>
          <w:szCs w:val="48"/>
        </w:rPr>
      </w:pPr>
    </w:p>
    <w:p w14:paraId="2C8ABDBF">
      <w:pPr>
        <w:rPr>
          <w:rFonts w:hint="eastAsia" w:ascii="黑体" w:hAnsi="黑体" w:eastAsia="黑体" w:cs="黑体"/>
          <w:b w:val="0"/>
          <w:bCs w:val="0"/>
          <w:sz w:val="48"/>
          <w:szCs w:val="48"/>
        </w:rPr>
      </w:pPr>
    </w:p>
    <w:p w14:paraId="426601FE">
      <w:pPr>
        <w:rPr>
          <w:rFonts w:hint="eastAsia" w:ascii="黑体" w:hAnsi="黑体" w:eastAsia="黑体" w:cs="黑体"/>
          <w:b w:val="0"/>
          <w:bCs w:val="0"/>
          <w:sz w:val="48"/>
          <w:szCs w:val="48"/>
        </w:rPr>
      </w:pPr>
    </w:p>
    <w:p w14:paraId="62937BB8">
      <w:pPr>
        <w:widowControl/>
        <w:ind w:firstLine="560" w:firstLineChars="200"/>
        <w:jc w:val="left"/>
        <w:rPr>
          <w:rFonts w:hint="eastAsia" w:ascii="宋体" w:hAnsi="宋体" w:eastAsia="宋体" w:cs="宋体"/>
          <w:kern w:val="0"/>
          <w:sz w:val="28"/>
          <w:szCs w:val="28"/>
          <w:lang w:val="en-US" w:eastAsia="zh-CN" w:bidi="ar"/>
        </w:rPr>
      </w:pPr>
      <w:r>
        <w:rPr>
          <w:rFonts w:hint="eastAsia" w:ascii="宋体" w:hAnsi="宋体" w:eastAsia="宋体" w:cs="宋体"/>
          <w:kern w:val="0"/>
          <w:sz w:val="28"/>
          <w:szCs w:val="28"/>
          <w:lang w:val="en-US" w:eastAsia="zh-CN" w:bidi="ar"/>
        </w:rPr>
        <w:t>近年来，我国经济基础不断增长，科技力量飞速发展。“电子竞技”一词的出现，引领着着新时代的潮流，展现出巨大的发展潜力。随着电子竞技被正式确认为体育项目，中国电子竞技产业给人民的物质文化生活增添了新的活力。与此同时，资源整合和产业发展越发需要专业人才，市场对高层次的电竞产业管理人才的需求越发强烈。</w:t>
      </w:r>
    </w:p>
    <w:p w14:paraId="127EB06D">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kern w:val="0"/>
          <w:sz w:val="28"/>
          <w:szCs w:val="28"/>
          <w:lang w:val="en-US" w:eastAsia="zh-CN" w:bidi="ar"/>
        </w:rPr>
      </w:pPr>
      <w:r>
        <w:rPr>
          <w:rFonts w:hint="eastAsia" w:ascii="宋体" w:hAnsi="宋体" w:eastAsia="宋体" w:cs="宋体"/>
          <w:kern w:val="0"/>
          <w:sz w:val="28"/>
          <w:szCs w:val="28"/>
          <w:lang w:val="en-US" w:eastAsia="zh-CN" w:bidi="ar"/>
        </w:rPr>
        <w:t>作为近年来新兴专业中的佼佼者，隶属于体育学类之下的电子竞技运动与管理专业，融合了前沿性、实践性、交叉性、竞技性、创新性及产业导向性于一身，是专为适应数字娱乐产业迅猛发展及电子竞技行业规范化需求而精心设计的本科专业。在“新工科”建设的大潮中，如何培育出既精通电子竞技基本技能又擅长管理的复合型人才，推动电子竞技领域的内涵式发展与国际化进程，已成为该专业建设的核心目标。</w:t>
      </w:r>
    </w:p>
    <w:p w14:paraId="58A90607">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kern w:val="0"/>
          <w:sz w:val="28"/>
          <w:szCs w:val="28"/>
          <w:lang w:val="en-US" w:eastAsia="zh-CN" w:bidi="ar"/>
        </w:rPr>
      </w:pPr>
      <w:r>
        <w:rPr>
          <w:rFonts w:hint="eastAsia" w:ascii="宋体" w:hAnsi="宋体" w:eastAsia="宋体" w:cs="宋体"/>
          <w:kern w:val="0"/>
          <w:sz w:val="28"/>
          <w:szCs w:val="28"/>
          <w:lang w:val="en-US" w:eastAsia="zh-CN" w:bidi="ar"/>
        </w:rPr>
        <w:t>当前，全国范围内已有上百所高等院校开设了电子竞技运动与管理专业，积极投身于电子竞技理论的深化研究，创新人才培养的实践路径，致力于构建特色化的专业教育体系，并在实际操作中积累了宝贵的经验。然而，尽管电子竞技运动与管理专业在理论研究深度、人才培养模式创新等方面取得了一定成就，但与培养国际领先水平的电子竞技复合型人才、建立顶尖专业的目标相比，仍存在不小的提升空间。因此，结合各教育机构的实际情况、资源条件及长远规划，建立一套全面、科学的专业评估机制，对电子竞技运动与管理专业的建设进展和实施效果进行持续跟踪与评估，对于推动该专业实现内涵式、高质量发展具有至关重要的意义。</w:t>
      </w:r>
    </w:p>
    <w:p w14:paraId="1FC245CE">
      <w:pPr>
        <w:keepNext w:val="0"/>
        <w:keepLines w:val="0"/>
        <w:pageBreakBefore w:val="0"/>
        <w:widowControl/>
        <w:suppressLineNumbers w:val="0"/>
        <w:kinsoku/>
        <w:wordWrap/>
        <w:overflowPunct/>
        <w:topLinePunct w:val="0"/>
        <w:autoSpaceDE/>
        <w:autoSpaceDN/>
        <w:bidi w:val="0"/>
        <w:adjustRightInd/>
        <w:snapToGrid/>
        <w:spacing w:line="360" w:lineRule="auto"/>
        <w:ind w:firstLine="562" w:firstLineChars="200"/>
        <w:jc w:val="left"/>
        <w:textAlignment w:val="auto"/>
        <w:rPr>
          <w:rFonts w:hint="eastAsia" w:ascii="宋体" w:hAnsi="宋体" w:eastAsia="宋体" w:cs="宋体"/>
          <w:b/>
          <w:bCs/>
          <w:kern w:val="0"/>
          <w:sz w:val="28"/>
          <w:szCs w:val="28"/>
          <w:lang w:val="en-US" w:eastAsia="zh-CN" w:bidi="ar"/>
        </w:rPr>
      </w:pPr>
      <w:r>
        <w:rPr>
          <w:rFonts w:hint="eastAsia" w:ascii="宋体" w:hAnsi="宋体" w:eastAsia="宋体" w:cs="宋体"/>
          <w:b/>
          <w:bCs/>
          <w:kern w:val="0"/>
          <w:sz w:val="28"/>
          <w:szCs w:val="28"/>
          <w:lang w:val="en-US" w:eastAsia="zh-CN" w:bidi="ar"/>
        </w:rPr>
        <w:t>一、电竞行业发展现状和趋势</w:t>
      </w:r>
    </w:p>
    <w:p w14:paraId="61C19035">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kern w:val="0"/>
          <w:sz w:val="28"/>
          <w:szCs w:val="28"/>
          <w:lang w:val="en-US" w:eastAsia="zh-CN" w:bidi="ar"/>
        </w:rPr>
      </w:pPr>
      <w:bookmarkStart w:id="0" w:name="_Hlk516429093"/>
      <w:r>
        <w:rPr>
          <w:rFonts w:hint="eastAsia" w:ascii="宋体" w:hAnsi="宋体" w:eastAsia="宋体" w:cs="宋体"/>
          <w:kern w:val="0"/>
          <w:sz w:val="28"/>
          <w:szCs w:val="28"/>
          <w:lang w:val="en-US" w:eastAsia="zh-CN" w:bidi="ar"/>
        </w:rPr>
        <w:t>高素质的人才梯队是电竞行业在全球竞技舞台上脱颖而出的核心竞争力，培育顶尖水平的电竞人才是促进该行业迅猛发展的内在需求。然而，当前我国的电竞行业面临着人才学历层次参差不齐、专业技能结构不合理以及地域发展不均衡等多重挑战。因此，高等学历继续教育强化电子竞技运动与管理专业（专升本）人才培养体系，提升教育质量，对于电竞行业的持续繁荣与健康发展显得尤为迫切。</w:t>
      </w:r>
    </w:p>
    <w:p w14:paraId="7776CF97">
      <w:pPr>
        <w:keepNext w:val="0"/>
        <w:keepLines w:val="0"/>
        <w:pageBreakBefore w:val="0"/>
        <w:widowControl/>
        <w:suppressLineNumbers w:val="0"/>
        <w:kinsoku/>
        <w:wordWrap/>
        <w:overflowPunct/>
        <w:topLinePunct w:val="0"/>
        <w:autoSpaceDE/>
        <w:autoSpaceDN/>
        <w:bidi w:val="0"/>
        <w:adjustRightInd/>
        <w:snapToGrid/>
        <w:spacing w:line="360" w:lineRule="auto"/>
        <w:ind w:firstLine="562" w:firstLineChars="200"/>
        <w:jc w:val="left"/>
        <w:textAlignment w:val="auto"/>
        <w:rPr>
          <w:rFonts w:hint="eastAsia" w:ascii="宋体" w:hAnsi="宋体" w:eastAsia="宋体" w:cs="宋体"/>
          <w:b/>
          <w:bCs/>
          <w:kern w:val="0"/>
          <w:sz w:val="28"/>
          <w:szCs w:val="28"/>
          <w:lang w:val="en-US" w:eastAsia="zh-CN" w:bidi="ar"/>
        </w:rPr>
      </w:pPr>
      <w:r>
        <w:rPr>
          <w:rFonts w:hint="eastAsia" w:ascii="宋体" w:hAnsi="宋体" w:eastAsia="宋体" w:cs="宋体"/>
          <w:b/>
          <w:bCs/>
          <w:kern w:val="0"/>
          <w:sz w:val="28"/>
          <w:szCs w:val="28"/>
          <w:lang w:val="en-US" w:eastAsia="zh-CN" w:bidi="ar"/>
        </w:rPr>
        <w:t>1.国家政策带动人才培养</w:t>
      </w:r>
    </w:p>
    <w:p w14:paraId="67D954FE">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DFDFE"/>
        <w:spacing w:before="0" w:beforeAutospacing="0" w:after="0" w:afterAutospacing="0" w:line="26" w:lineRule="atLeast"/>
        <w:ind w:left="0" w:right="0" w:firstLine="560" w:firstLineChars="200"/>
        <w:rPr>
          <w:rFonts w:hint="eastAsia" w:ascii="宋体" w:hAnsi="宋体" w:eastAsia="宋体" w:cs="宋体"/>
          <w:kern w:val="0"/>
          <w:sz w:val="28"/>
          <w:szCs w:val="28"/>
          <w:lang w:val="en-US" w:eastAsia="zh-CN" w:bidi="ar"/>
        </w:rPr>
      </w:pPr>
      <w:r>
        <w:rPr>
          <w:rFonts w:hint="default" w:ascii="宋体" w:hAnsi="宋体" w:eastAsia="宋体" w:cs="宋体"/>
          <w:kern w:val="0"/>
          <w:sz w:val="28"/>
          <w:szCs w:val="28"/>
          <w:lang w:val="en-US" w:eastAsia="zh-CN" w:bidi="ar"/>
        </w:rPr>
        <w:t>近十年来，随着电竞行业的蓬勃兴起，我国已陆续颁布了一系列政策措施，以扶持并引导电竞产业健康有序发展。从时间脉络来看，自初期对电竞产业的初步认可与规范，到近年来《关于促进电子竞技产业健康发展的若干意见》等文件的出台，标志着我国电竞产业政策支持体系正逐步向全面化、精细化方向迈进。横向观察，电竞产业相关的各个环节也迎来了政策利好：电竞教育领域，发布了《电竞教育产业发展规划》，旨在构建完善的电竞人才培养体系；电竞赛事及直播平台管理方面，出台了《电竞赛事及直播活动管理暂行办法》，同时推动了相关立法进程，以保障电竞市场的公平竞争与健康发展；电竞与传统体育融合方面，《关于推动电竞与传统体育融合发展的指导意见》等文件，为电竞体育化、国际化铺平了道路。</w:t>
      </w:r>
    </w:p>
    <w:p w14:paraId="584A7D6C">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DFDFE"/>
        <w:spacing w:before="210" w:beforeAutospacing="0" w:after="0" w:afterAutospacing="0" w:line="26" w:lineRule="atLeast"/>
        <w:ind w:left="0" w:right="0" w:firstLine="560" w:firstLineChars="200"/>
        <w:rPr>
          <w:rFonts w:hint="default" w:ascii="宋体" w:hAnsi="宋体" w:eastAsia="宋体" w:cs="宋体"/>
          <w:kern w:val="0"/>
          <w:sz w:val="28"/>
          <w:szCs w:val="28"/>
          <w:lang w:val="en-US" w:eastAsia="zh-CN" w:bidi="ar"/>
        </w:rPr>
      </w:pPr>
      <w:r>
        <w:rPr>
          <w:rFonts w:hint="default" w:ascii="宋体" w:hAnsi="宋体" w:eastAsia="宋体" w:cs="宋体"/>
          <w:kern w:val="0"/>
          <w:sz w:val="28"/>
          <w:szCs w:val="28"/>
          <w:lang w:val="en-US" w:eastAsia="zh-CN" w:bidi="ar"/>
        </w:rPr>
        <w:t>《“十四五”电竞产业发展规划》更是明确提出，要推动电竞产业高质量发展，依托数字技术，加强电竞内容创新与传播能力建设，打造电竞产业新生态。规划强调，要建立电竞人才库，优化电竞人才结构，通过校企合作、产教融合等方式，加快培养电竞产业急需的高技能人才和复合型人才。同时，鼓励社会资本投入电竞产业，支持电竞企业做大做强，打造具有国际影响力的电竞品牌。</w:t>
      </w:r>
    </w:p>
    <w:p w14:paraId="3F3D79E7">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DFDFE"/>
        <w:spacing w:before="210" w:beforeAutospacing="0" w:after="0" w:afterAutospacing="0" w:line="26" w:lineRule="atLeast"/>
        <w:ind w:left="0" w:right="0" w:firstLine="560" w:firstLineChars="200"/>
        <w:rPr>
          <w:rFonts w:hint="eastAsia" w:ascii="宋体" w:hAnsi="宋体" w:eastAsia="宋体" w:cs="宋体"/>
          <w:kern w:val="0"/>
          <w:sz w:val="28"/>
          <w:szCs w:val="28"/>
          <w:lang w:val="en-US" w:eastAsia="zh-CN" w:bidi="ar"/>
        </w:rPr>
      </w:pPr>
      <w:r>
        <w:rPr>
          <w:rFonts w:hint="default" w:ascii="宋体" w:hAnsi="宋体" w:eastAsia="宋体" w:cs="宋体"/>
          <w:kern w:val="0"/>
          <w:sz w:val="28"/>
          <w:szCs w:val="28"/>
          <w:lang w:val="en-US" w:eastAsia="zh-CN" w:bidi="ar"/>
        </w:rPr>
        <w:t>此外，政策还鼓励电竞产业与文化、旅游、教育、科技等多领域深度融合，拓展电竞产业链，提升电竞产业附加值。建设电竞产业公共服务平台，为电竞企业提供一站式服务，促进电竞产业资源的高效配置与利用。在人才培养上，坚持德才兼备，强化电竞人才的思想政治教育，改革电竞教育模式，创新电竞人才培训体系，加大电竞人才培训力度，不断提升电竞人才队伍的整体素质和能力，为电竞产业的持续繁荣与发展提供坚实的人才支撑。国家相关政策体系的不断完善，正为电竞产业的未来发展描绘出一幅宏伟蓝图。</w:t>
      </w:r>
    </w:p>
    <w:p w14:paraId="43E50E5B">
      <w:pPr>
        <w:keepNext w:val="0"/>
        <w:keepLines w:val="0"/>
        <w:pageBreakBefore w:val="0"/>
        <w:widowControl/>
        <w:suppressLineNumbers w:val="0"/>
        <w:kinsoku/>
        <w:wordWrap/>
        <w:overflowPunct/>
        <w:topLinePunct w:val="0"/>
        <w:autoSpaceDE/>
        <w:autoSpaceDN/>
        <w:bidi w:val="0"/>
        <w:adjustRightInd/>
        <w:snapToGrid/>
        <w:spacing w:line="360" w:lineRule="auto"/>
        <w:ind w:firstLine="562" w:firstLineChars="200"/>
        <w:jc w:val="left"/>
        <w:textAlignment w:val="auto"/>
        <w:rPr>
          <w:rFonts w:hint="eastAsia" w:ascii="宋体" w:hAnsi="宋体" w:eastAsia="宋体" w:cs="宋体"/>
          <w:b/>
          <w:bCs/>
          <w:kern w:val="0"/>
          <w:sz w:val="28"/>
          <w:szCs w:val="28"/>
          <w:lang w:val="en-US" w:eastAsia="zh-CN" w:bidi="ar"/>
        </w:rPr>
      </w:pPr>
      <w:r>
        <w:rPr>
          <w:rFonts w:hint="eastAsia" w:ascii="宋体" w:hAnsi="宋体" w:eastAsia="宋体" w:cs="宋体"/>
          <w:b/>
          <w:bCs/>
          <w:kern w:val="0"/>
          <w:sz w:val="28"/>
          <w:szCs w:val="28"/>
          <w:lang w:val="en-US" w:eastAsia="zh-CN" w:bidi="ar"/>
        </w:rPr>
        <w:t>2.电竞企业数量激增，电竞产业规模显著扩张</w:t>
      </w:r>
    </w:p>
    <w:bookmarkEnd w:id="0"/>
    <w:p w14:paraId="6FDD7BDA">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DFDFE"/>
        <w:spacing w:before="210" w:beforeAutospacing="0" w:after="0" w:afterAutospacing="0" w:line="26" w:lineRule="atLeast"/>
        <w:ind w:left="0" w:right="0" w:firstLine="560" w:firstLineChars="200"/>
        <w:rPr>
          <w:rFonts w:hint="default" w:ascii="宋体" w:hAnsi="宋体" w:eastAsia="宋体" w:cs="宋体"/>
          <w:kern w:val="0"/>
          <w:sz w:val="28"/>
          <w:szCs w:val="28"/>
          <w:lang w:val="en-US" w:eastAsia="zh-CN" w:bidi="ar"/>
        </w:rPr>
      </w:pPr>
      <w:r>
        <w:rPr>
          <w:rFonts w:hint="default" w:ascii="宋体" w:hAnsi="宋体" w:eastAsia="宋体" w:cs="宋体"/>
          <w:kern w:val="0"/>
          <w:sz w:val="28"/>
          <w:szCs w:val="28"/>
          <w:lang w:val="en-US" w:eastAsia="zh-CN" w:bidi="ar"/>
        </w:rPr>
        <w:t>当前，在全球新兴产业的版图中，电竞产业正以惊人的速度崛起，成为推动数字经济与体育娱乐融合发展的新动力。在诸多发达国家和地区，电竞产业不仅占据了经济总量的显著份额，还通过高度的产业集聚效应，实现了专业化、精细化和国际化的发展，构建起了由成熟产业链和活跃市场体系交织而成的“电竞经济版图”。这些电竞经济的热点区域，作为全球创新活力与创业热情的聚集地，同时也是资本涌动、技术迭代、人才汇聚的前沿阵地，通过电竞生态的紧密联结，形成了遍布全球、交互频繁的电竞经济网络。</w:t>
      </w:r>
    </w:p>
    <w:p w14:paraId="6D42CB98">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DFDFE"/>
        <w:spacing w:before="210" w:beforeAutospacing="0" w:after="0" w:afterAutospacing="0" w:line="26" w:lineRule="atLeast"/>
        <w:ind w:left="0" w:right="0" w:firstLine="560" w:firstLineChars="200"/>
        <w:rPr>
          <w:rFonts w:hint="default" w:ascii="宋体" w:hAnsi="宋体" w:eastAsia="宋体" w:cs="宋体"/>
          <w:kern w:val="0"/>
          <w:sz w:val="28"/>
          <w:szCs w:val="28"/>
          <w:lang w:val="en-US" w:eastAsia="zh-CN" w:bidi="ar"/>
        </w:rPr>
      </w:pPr>
      <w:r>
        <w:rPr>
          <w:rFonts w:hint="default" w:ascii="宋体" w:hAnsi="宋体" w:eastAsia="宋体" w:cs="宋体"/>
          <w:kern w:val="0"/>
          <w:sz w:val="28"/>
          <w:szCs w:val="28"/>
          <w:lang w:val="en-US" w:eastAsia="zh-CN" w:bidi="ar"/>
        </w:rPr>
        <w:t>据国际电竞研究机构数据显示，全球电竞产业对GDP的平均贡献率已超过1%，而在一些电竞产业高度发达的国家和地区，如韩国，这一比例已逼近3%，美国、中国等也均保持在较高水平。这一成就的背后，离不开对电竞专业人才的高度重视与培养体系的不断完善。相比之下，我国北京、上海、广州、成都等电竞产业发展迅速的城市，尽管市场需求旺盛，但在电竞专业人才供给方面仍存在较大缺口，而诸如洛杉矶、首尔、柏林等国际电竞名城，其电竞专业人才占电竞行业总从业人员的比例普遍超过了15%。</w:t>
      </w:r>
    </w:p>
    <w:p w14:paraId="07636C0F">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DFDFE"/>
        <w:spacing w:before="210" w:beforeAutospacing="0" w:after="0" w:afterAutospacing="0" w:line="26" w:lineRule="atLeast"/>
        <w:ind w:left="0" w:right="0" w:firstLine="560" w:firstLineChars="200"/>
        <w:rPr>
          <w:rFonts w:hint="default" w:ascii="宋体" w:hAnsi="宋体" w:eastAsia="宋体" w:cs="宋体"/>
          <w:kern w:val="0"/>
          <w:sz w:val="28"/>
          <w:szCs w:val="28"/>
          <w:lang w:val="en-US" w:eastAsia="zh-CN" w:bidi="ar"/>
        </w:rPr>
      </w:pPr>
      <w:r>
        <w:rPr>
          <w:rFonts w:hint="default" w:ascii="宋体" w:hAnsi="宋体" w:eastAsia="宋体" w:cs="宋体"/>
          <w:kern w:val="0"/>
          <w:sz w:val="28"/>
          <w:szCs w:val="28"/>
          <w:lang w:val="en-US" w:eastAsia="zh-CN" w:bidi="ar"/>
        </w:rPr>
        <w:t>随着全球一体化进程的加速，电竞产业的发展水平已成为衡量国家或地区数字经济实力与文化软实力的关键指标。国与国、地区与地区之间电竞领域的竞争，本质上是对高端电竞人才，尤其是具备国际视野、创新能力和实战经验的电竞管理与运营人才的争夺。因此，加强电竞专业人才培养，构建电竞人才高地，对于提升我国电竞产业的国际竞争力具有至关重要的战略意义。</w:t>
      </w:r>
    </w:p>
    <w:p w14:paraId="21CA712C">
      <w:pPr>
        <w:keepNext w:val="0"/>
        <w:keepLines w:val="0"/>
        <w:pageBreakBefore w:val="0"/>
        <w:widowControl/>
        <w:suppressLineNumbers w:val="0"/>
        <w:kinsoku/>
        <w:wordWrap/>
        <w:overflowPunct/>
        <w:topLinePunct w:val="0"/>
        <w:autoSpaceDE/>
        <w:autoSpaceDN/>
        <w:bidi w:val="0"/>
        <w:adjustRightInd/>
        <w:snapToGrid/>
        <w:spacing w:line="360" w:lineRule="auto"/>
        <w:ind w:firstLine="562" w:firstLineChars="200"/>
        <w:jc w:val="left"/>
        <w:textAlignment w:val="auto"/>
        <w:rPr>
          <w:rFonts w:hint="eastAsia" w:ascii="宋体" w:hAnsi="宋体" w:eastAsia="宋体" w:cs="宋体"/>
          <w:b/>
          <w:bCs/>
          <w:kern w:val="0"/>
          <w:sz w:val="28"/>
          <w:szCs w:val="28"/>
          <w:lang w:val="en-US" w:eastAsia="zh-CN" w:bidi="ar"/>
        </w:rPr>
      </w:pPr>
      <w:r>
        <w:rPr>
          <w:rFonts w:hint="eastAsia" w:ascii="宋体" w:hAnsi="宋体" w:eastAsia="宋体" w:cs="宋体"/>
          <w:b/>
          <w:bCs/>
          <w:kern w:val="0"/>
          <w:sz w:val="28"/>
          <w:szCs w:val="28"/>
          <w:lang w:val="en-US" w:eastAsia="zh-CN" w:bidi="ar"/>
        </w:rPr>
        <w:t>二、人才需求分析</w:t>
      </w:r>
    </w:p>
    <w:p w14:paraId="224DC67A">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DFDFE"/>
        <w:spacing w:before="210" w:beforeAutospacing="0" w:after="0" w:afterAutospacing="0" w:line="26" w:lineRule="atLeast"/>
        <w:ind w:left="0" w:right="0" w:firstLine="562" w:firstLineChars="200"/>
        <w:rPr>
          <w:rFonts w:hint="default" w:ascii="宋体" w:hAnsi="宋体" w:eastAsia="宋体" w:cs="宋体"/>
          <w:kern w:val="0"/>
          <w:sz w:val="28"/>
          <w:szCs w:val="28"/>
          <w:lang w:val="en-US" w:eastAsia="zh-CN" w:bidi="ar"/>
        </w:rPr>
      </w:pPr>
      <w:r>
        <w:rPr>
          <w:rFonts w:hint="eastAsia" w:ascii="Times New Roman" w:hAnsi="Times New Roman" w:eastAsia="仿宋" w:cs="Times New Roman"/>
          <w:b/>
          <w:color w:val="auto"/>
          <w:sz w:val="28"/>
          <w:szCs w:val="28"/>
          <w:highlight w:val="none"/>
        </w:rPr>
        <w:t xml:space="preserve"> </w:t>
      </w:r>
      <w:r>
        <w:rPr>
          <w:rFonts w:hint="eastAsia" w:ascii="宋体" w:hAnsi="宋体" w:eastAsia="宋体" w:cs="宋体"/>
          <w:kern w:val="0"/>
          <w:sz w:val="28"/>
          <w:szCs w:val="28"/>
          <w:lang w:val="en-US" w:eastAsia="zh-CN" w:bidi="ar"/>
        </w:rPr>
        <w:t xml:space="preserve">  </w:t>
      </w:r>
      <w:r>
        <w:rPr>
          <w:rFonts w:hint="default" w:ascii="宋体" w:hAnsi="宋体" w:eastAsia="宋体" w:cs="宋体"/>
          <w:kern w:val="0"/>
          <w:sz w:val="28"/>
          <w:szCs w:val="28"/>
          <w:lang w:val="en-US" w:eastAsia="zh-CN" w:bidi="ar"/>
        </w:rPr>
        <w:t>近年来，我国在信息技术领域取得了显著进展，特别是在5G通信、人工智能、云计算、大数据分析、区块链技术、虚拟现实（VR）、增强现实（AR）、物联网（IoT）以及高性能计算等方面展现出强劲的发展势能，这些技术的融合与创新正深刻改变着人们的生活娱乐方式。在此背景下，电竞行业作为新兴文化产业的代表，以其独特的魅力和无限的潜力异军突起，不仅为广大电竞爱好者提供了前所未有的沉浸式体验和专业化的竞技平台，还极大地丰富了人们的休闲娱乐选择，并引领了全新的数字消费潮流。</w:t>
      </w:r>
    </w:p>
    <w:p w14:paraId="2F54CA60">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DFDFE"/>
        <w:spacing w:before="210" w:beforeAutospacing="0" w:after="0" w:afterAutospacing="0" w:line="26" w:lineRule="atLeast"/>
        <w:ind w:left="0" w:right="0" w:firstLine="560" w:firstLineChars="200"/>
        <w:rPr>
          <w:rFonts w:ascii="Times New Roman" w:hAnsi="Times New Roman" w:eastAsia="仿宋" w:cs="Times New Roman"/>
          <w:b/>
          <w:color w:val="auto"/>
          <w:sz w:val="28"/>
          <w:szCs w:val="28"/>
          <w:highlight w:val="none"/>
        </w:rPr>
      </w:pPr>
      <w:r>
        <w:rPr>
          <w:rFonts w:hint="default" w:ascii="宋体" w:hAnsi="宋体" w:eastAsia="宋体" w:cs="宋体"/>
          <w:kern w:val="0"/>
          <w:sz w:val="28"/>
          <w:szCs w:val="28"/>
          <w:lang w:val="en-US" w:eastAsia="zh-CN" w:bidi="ar"/>
        </w:rPr>
        <w:t>电竞行业的蓬勃发展，不仅带动了周边产业链如电竞直播、电竞教育、电竞硬件、电竞场馆建设等的快速兴起，还为我国经济结构的转型升级注入了新的活力。电竞赛事的国际化、电竞俱乐部的品牌化运营、电竞内容的多元化创作，以及电竞与传统体育、文化旅游、影视娱乐等领域的跨界融合，不仅创造了大量的就业机会，还促进了相关产业的价值提升，为我国数字经济的增长贡献了重要力量。电竞行业的兴起，不仅是对传统娱乐方式的革新，更是我国经济新增长点的重要组成部分，展现了</w:t>
      </w:r>
      <w:r>
        <w:rPr>
          <w:rFonts w:hint="eastAsia" w:cs="宋体"/>
          <w:kern w:val="0"/>
          <w:sz w:val="28"/>
          <w:szCs w:val="28"/>
          <w:lang w:val="en-US" w:eastAsia="zh-CN" w:bidi="ar"/>
        </w:rPr>
        <w:t>电竞</w:t>
      </w:r>
      <w:r>
        <w:rPr>
          <w:rFonts w:hint="default" w:ascii="宋体" w:hAnsi="宋体" w:eastAsia="宋体" w:cs="宋体"/>
          <w:kern w:val="0"/>
          <w:sz w:val="28"/>
          <w:szCs w:val="28"/>
          <w:lang w:val="en-US" w:eastAsia="zh-CN" w:bidi="ar"/>
        </w:rPr>
        <w:t>产业在新时代下的无限可能与广阔前景。</w:t>
      </w:r>
    </w:p>
    <w:p w14:paraId="26A2A873">
      <w:pPr>
        <w:keepNext w:val="0"/>
        <w:keepLines w:val="0"/>
        <w:pageBreakBefore w:val="0"/>
        <w:widowControl/>
        <w:suppressLineNumbers w:val="0"/>
        <w:kinsoku/>
        <w:wordWrap/>
        <w:overflowPunct/>
        <w:topLinePunct w:val="0"/>
        <w:autoSpaceDE/>
        <w:autoSpaceDN/>
        <w:bidi w:val="0"/>
        <w:adjustRightInd/>
        <w:snapToGrid/>
        <w:spacing w:line="360" w:lineRule="auto"/>
        <w:ind w:firstLine="562" w:firstLineChars="200"/>
        <w:jc w:val="left"/>
        <w:textAlignment w:val="auto"/>
        <w:rPr>
          <w:rFonts w:hint="eastAsia" w:ascii="宋体" w:hAnsi="宋体" w:eastAsia="宋体" w:cs="宋体"/>
          <w:b/>
          <w:bCs/>
          <w:kern w:val="0"/>
          <w:sz w:val="28"/>
          <w:szCs w:val="28"/>
          <w:lang w:val="en-US" w:eastAsia="zh-CN" w:bidi="ar"/>
        </w:rPr>
      </w:pPr>
      <w:r>
        <w:rPr>
          <w:rFonts w:hint="eastAsia" w:ascii="宋体" w:hAnsi="宋体" w:eastAsia="宋体" w:cs="宋体"/>
          <w:b/>
          <w:bCs/>
          <w:kern w:val="0"/>
          <w:sz w:val="28"/>
          <w:szCs w:val="28"/>
          <w:lang w:val="en-US" w:eastAsia="zh-CN" w:bidi="ar"/>
        </w:rPr>
        <w:t>1.电竞产业的发展必然需要重视并加强电竞产业管理人才的培养</w:t>
      </w:r>
    </w:p>
    <w:p w14:paraId="52141D31">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kern w:val="0"/>
          <w:sz w:val="28"/>
          <w:szCs w:val="28"/>
          <w:lang w:val="en-US" w:eastAsia="zh-CN" w:bidi="ar"/>
        </w:rPr>
      </w:pPr>
      <w:r>
        <w:rPr>
          <w:rFonts w:hint="default" w:ascii="宋体" w:hAnsi="宋体" w:eastAsia="宋体" w:cs="宋体"/>
          <w:kern w:val="0"/>
          <w:sz w:val="28"/>
          <w:szCs w:val="28"/>
          <w:lang w:val="en-US" w:eastAsia="zh-CN" w:bidi="ar"/>
        </w:rPr>
        <w:t>相较于传统行业，电竞产业同样兼具经济价值与社会文化影响力双重特性。电竞产业植根于庞大的电竞用户基础与深厚的电竞文化底蕴之上，通过将电竞比赛、选手培训、内容创作等资源转化为市场化的产品与服务，实现了经济效益的快速增长。在电竞产业高度成熟的国家，如韩国，电竞已成为国民经济的支柱产业之一，拥有众多国际知名的电竞俱乐部与赛事；美国电竞市场同样蓬勃发展，吸引了大量资本投入，电竞产业规模持续扩大；而在中国，电竞产业虽起步较晚，但在政府政策的鼓励与市场的热烈响应下，展现出了惊人的发展速度。</w:t>
      </w:r>
    </w:p>
    <w:p w14:paraId="3997EC4B">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default" w:ascii="宋体" w:hAnsi="宋体" w:eastAsia="宋体" w:cs="宋体"/>
          <w:kern w:val="0"/>
          <w:sz w:val="28"/>
          <w:szCs w:val="28"/>
          <w:lang w:val="en-US" w:eastAsia="zh-CN" w:bidi="ar"/>
        </w:rPr>
      </w:pPr>
      <w:r>
        <w:rPr>
          <w:rFonts w:hint="default" w:ascii="宋体" w:hAnsi="宋体" w:eastAsia="宋体" w:cs="宋体"/>
          <w:kern w:val="0"/>
          <w:sz w:val="28"/>
          <w:szCs w:val="28"/>
          <w:lang w:val="en-US" w:eastAsia="zh-CN" w:bidi="ar"/>
        </w:rPr>
        <w:t>据最新数据显示，我国电竞产业在近年来实现了飞跃式增长。2022年，中国电竞市场总收入达到近1500亿元人民币，同比增长超过15%，增速远超多数传统行业。2024年上半年，中国电子竞技产业总收入达到120.27亿元，同比增长4.43%</w:t>
      </w:r>
      <w:r>
        <w:rPr>
          <w:rFonts w:hint="eastAsia" w:ascii="宋体" w:hAnsi="宋体" w:eastAsia="宋体" w:cs="宋体"/>
          <w:kern w:val="0"/>
          <w:sz w:val="28"/>
          <w:szCs w:val="28"/>
          <w:lang w:val="en-US" w:eastAsia="zh-CN" w:bidi="ar"/>
        </w:rPr>
        <w:t>；</w:t>
      </w:r>
      <w:r>
        <w:rPr>
          <w:rFonts w:hint="default" w:ascii="宋体" w:hAnsi="宋体" w:eastAsia="宋体" w:cs="宋体"/>
          <w:kern w:val="0"/>
          <w:sz w:val="28"/>
          <w:szCs w:val="28"/>
          <w:lang w:val="en-US" w:eastAsia="zh-CN" w:bidi="ar"/>
        </w:rPr>
        <w:t>中国电竞游戏市场实际销售收入为691.43亿元，同比增长7.24%</w:t>
      </w:r>
      <w:r>
        <w:rPr>
          <w:rFonts w:hint="eastAsia" w:ascii="宋体" w:hAnsi="宋体" w:eastAsia="宋体" w:cs="宋体"/>
          <w:kern w:val="0"/>
          <w:sz w:val="28"/>
          <w:szCs w:val="28"/>
          <w:lang w:val="en-US" w:eastAsia="zh-CN" w:bidi="ar"/>
        </w:rPr>
        <w:t>，</w:t>
      </w:r>
      <w:r>
        <w:rPr>
          <w:rFonts w:hint="default" w:ascii="宋体" w:hAnsi="宋体" w:eastAsia="宋体" w:cs="宋体"/>
          <w:kern w:val="0"/>
          <w:sz w:val="28"/>
          <w:szCs w:val="28"/>
          <w:lang w:val="en-US" w:eastAsia="zh-CN" w:bidi="ar"/>
        </w:rPr>
        <w:t>扭转了此前连续两年同比下降的趋势。这一数据表明，电竞游戏作为电竞产业的核心组成部分，正持续推动整个产业的增长</w:t>
      </w:r>
      <w:r>
        <w:rPr>
          <w:rFonts w:hint="eastAsia" w:ascii="宋体" w:hAnsi="宋体" w:eastAsia="宋体" w:cs="宋体"/>
          <w:kern w:val="0"/>
          <w:sz w:val="28"/>
          <w:szCs w:val="28"/>
          <w:lang w:val="en-US" w:eastAsia="zh-CN" w:bidi="ar"/>
        </w:rPr>
        <w:t>。</w:t>
      </w:r>
    </w:p>
    <w:p w14:paraId="7EA5C962">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kern w:val="0"/>
          <w:sz w:val="28"/>
          <w:szCs w:val="28"/>
          <w:lang w:val="en-US" w:eastAsia="zh-CN" w:bidi="ar"/>
        </w:rPr>
      </w:pPr>
      <w:r>
        <w:rPr>
          <w:rFonts w:hint="default" w:ascii="宋体" w:hAnsi="宋体" w:eastAsia="宋体" w:cs="宋体"/>
          <w:kern w:val="0"/>
          <w:sz w:val="28"/>
          <w:szCs w:val="28"/>
          <w:lang w:val="en-US" w:eastAsia="zh-CN" w:bidi="ar"/>
        </w:rPr>
        <w:t>电竞产业链上的各个环节均表现活跃，其中，电竞游戏开发与运营、电竞直播与赛事举办、电竞教育与培训等领域尤为突出。电竞直播平台的用户活跃度与付费率持续攀升，电竞赛事的观看人数与商业价值不断刷新纪录，以2024年为例，KPL赛事赞助商已达16个，涵盖了汽车、3C数码、服装等多个领域，显示了电竞赛事强大的商业吸引力</w:t>
      </w:r>
      <w:r>
        <w:rPr>
          <w:rFonts w:hint="default" w:ascii="Segoe UI" w:hAnsi="Segoe UI" w:eastAsia="Segoe UI" w:cs="Segoe UI"/>
          <w:i w:val="0"/>
          <w:iCs w:val="0"/>
          <w:caps w:val="0"/>
          <w:color w:val="05073B"/>
          <w:spacing w:val="0"/>
          <w:sz w:val="22"/>
          <w:szCs w:val="22"/>
          <w:shd w:val="clear" w:fill="FDFDFE"/>
        </w:rPr>
        <w:t>。</w:t>
      </w:r>
      <w:r>
        <w:rPr>
          <w:rFonts w:hint="default" w:ascii="宋体" w:hAnsi="宋体" w:eastAsia="宋体" w:cs="宋体"/>
          <w:kern w:val="0"/>
          <w:sz w:val="28"/>
          <w:szCs w:val="28"/>
          <w:lang w:val="en-US" w:eastAsia="zh-CN" w:bidi="ar"/>
        </w:rPr>
        <w:t>电竞教育则为社会输送了大量专业人才，为电竞产业的持续发展提供了坚实的人才支撑。越来越多的高校和职业培训机构开始开设电竞相关专业和课程，培养电竞选手、教练、分析师等多元化人才。这些人才将为电竞产业的持续发展提供有力支持</w:t>
      </w:r>
      <w:r>
        <w:rPr>
          <w:rFonts w:hint="eastAsia" w:ascii="宋体" w:hAnsi="宋体" w:eastAsia="宋体" w:cs="宋体"/>
          <w:kern w:val="0"/>
          <w:sz w:val="28"/>
          <w:szCs w:val="28"/>
          <w:lang w:val="en-US" w:eastAsia="zh-CN" w:bidi="ar"/>
        </w:rPr>
        <w:t>（由艾瑞咨询公司提供）</w:t>
      </w:r>
      <w:r>
        <w:rPr>
          <w:rFonts w:hint="default" w:ascii="宋体" w:hAnsi="宋体" w:eastAsia="宋体" w:cs="宋体"/>
          <w:kern w:val="0"/>
          <w:sz w:val="28"/>
          <w:szCs w:val="28"/>
          <w:lang w:val="en-US" w:eastAsia="zh-CN" w:bidi="ar"/>
        </w:rPr>
        <w:t>。然而，我国电竞产业同样面临着地区发展不均衡的问题。东部沿海地区凭借其经济优势与产业基础，电竞产业发展遥遥领先，占据了全国电竞市场的主要份额</w:t>
      </w:r>
      <w:r>
        <w:rPr>
          <w:rFonts w:hint="eastAsia" w:ascii="宋体" w:hAnsi="宋体" w:eastAsia="宋体" w:cs="宋体"/>
          <w:kern w:val="0"/>
          <w:sz w:val="28"/>
          <w:szCs w:val="28"/>
          <w:lang w:val="en-US" w:eastAsia="zh-CN" w:bidi="ar"/>
        </w:rPr>
        <w:t>。</w:t>
      </w:r>
      <w:r>
        <w:rPr>
          <w:rFonts w:hint="default" w:ascii="宋体" w:hAnsi="宋体" w:eastAsia="宋体" w:cs="宋体"/>
          <w:kern w:val="0"/>
          <w:sz w:val="28"/>
          <w:szCs w:val="28"/>
          <w:lang w:val="en-US" w:eastAsia="zh-CN" w:bidi="ar"/>
        </w:rPr>
        <w:t>据估计，东部地区的电竞产业收入占全国总收入的比重超过70%。中部与西部地区虽然电竞产业起步较晚，但近年来也展现出了强劲的增长势头，逐步缩小与东部的差距。相比之下，东北地区电竞产业的发展则相对滞后，其电竞产业收入占全国总收入的比重不足5%</w:t>
      </w:r>
      <w:r>
        <w:rPr>
          <w:rFonts w:hint="eastAsia" w:ascii="宋体" w:hAnsi="宋体" w:eastAsia="宋体" w:cs="宋体"/>
          <w:kern w:val="0"/>
          <w:sz w:val="28"/>
          <w:szCs w:val="28"/>
          <w:lang w:val="en-US" w:eastAsia="zh-CN" w:bidi="ar"/>
        </w:rPr>
        <w:t>，</w:t>
      </w:r>
      <w:r>
        <w:rPr>
          <w:rFonts w:hint="default" w:ascii="宋体" w:hAnsi="宋体" w:eastAsia="宋体" w:cs="宋体"/>
          <w:kern w:val="0"/>
          <w:sz w:val="28"/>
          <w:szCs w:val="28"/>
          <w:lang w:val="en-US" w:eastAsia="zh-CN" w:bidi="ar"/>
        </w:rPr>
        <w:t>亟需政策扶持与产业升级。电竞人才的地区分布同样不均衡，高端电竞人才主要集中在一线城市与电竞产业发达地区，加剧了地区间的差异。</w:t>
      </w:r>
    </w:p>
    <w:p w14:paraId="2875FDD8">
      <w:pPr>
        <w:keepNext w:val="0"/>
        <w:keepLines w:val="0"/>
        <w:pageBreakBefore w:val="0"/>
        <w:widowControl/>
        <w:suppressLineNumbers w:val="0"/>
        <w:kinsoku/>
        <w:wordWrap/>
        <w:overflowPunct/>
        <w:topLinePunct w:val="0"/>
        <w:autoSpaceDE/>
        <w:autoSpaceDN/>
        <w:bidi w:val="0"/>
        <w:adjustRightInd/>
        <w:snapToGrid/>
        <w:spacing w:line="360" w:lineRule="auto"/>
        <w:ind w:firstLine="562" w:firstLineChars="200"/>
        <w:jc w:val="left"/>
        <w:textAlignment w:val="auto"/>
        <w:rPr>
          <w:rFonts w:hint="eastAsia" w:ascii="宋体" w:hAnsi="宋体" w:eastAsia="宋体" w:cs="宋体"/>
          <w:b/>
          <w:bCs/>
          <w:kern w:val="0"/>
          <w:sz w:val="28"/>
          <w:szCs w:val="28"/>
          <w:lang w:val="en-US" w:eastAsia="zh-CN" w:bidi="ar"/>
        </w:rPr>
      </w:pPr>
      <w:r>
        <w:rPr>
          <w:rFonts w:hint="eastAsia" w:ascii="宋体" w:hAnsi="宋体" w:eastAsia="宋体" w:cs="宋体"/>
          <w:b/>
          <w:bCs/>
          <w:kern w:val="0"/>
          <w:sz w:val="28"/>
          <w:szCs w:val="28"/>
          <w:lang w:val="en-US" w:eastAsia="zh-CN" w:bidi="ar"/>
        </w:rPr>
        <w:t>2.推动电竞产业的繁荣与发展，亟需具备跨学科知识融合能力的人才</w:t>
      </w:r>
    </w:p>
    <w:p w14:paraId="4687CD75">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DFDFE"/>
        <w:spacing w:before="0" w:beforeAutospacing="0" w:after="0" w:afterAutospacing="0" w:line="26" w:lineRule="atLeast"/>
        <w:ind w:left="0" w:right="0" w:firstLine="560" w:firstLineChars="200"/>
        <w:rPr>
          <w:rFonts w:hint="default" w:ascii="宋体" w:hAnsi="宋体" w:eastAsia="宋体" w:cs="宋体"/>
          <w:kern w:val="0"/>
          <w:sz w:val="28"/>
          <w:szCs w:val="28"/>
          <w:lang w:val="en-US" w:eastAsia="zh-CN" w:bidi="ar"/>
        </w:rPr>
      </w:pPr>
      <w:r>
        <w:rPr>
          <w:rFonts w:hint="default" w:ascii="宋体" w:hAnsi="宋体" w:eastAsia="宋体" w:cs="宋体"/>
          <w:kern w:val="0"/>
          <w:sz w:val="28"/>
          <w:szCs w:val="28"/>
          <w:lang w:val="en-US" w:eastAsia="zh-CN" w:bidi="ar"/>
        </w:rPr>
        <w:t>培养数智化时代“新电竞”复合型、应用型的拔尖创新人才成为电竞学科教育教学的重要使命。电竞产业与科技的深度融合，是一种以现代技术驱动电竞发展的创新路径，旨在培育既精通电竞规则与运营，又熟练掌握科技手段，能够运用新技术引领电竞创新与变革的复合型人才。</w:t>
      </w:r>
    </w:p>
    <w:p w14:paraId="04A39EBC">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DFDFE"/>
        <w:spacing w:before="210" w:beforeAutospacing="0" w:after="0" w:afterAutospacing="0" w:line="26" w:lineRule="atLeast"/>
        <w:ind w:left="0" w:right="0" w:firstLine="560" w:firstLineChars="200"/>
        <w:rPr>
          <w:rFonts w:hint="default" w:ascii="宋体" w:hAnsi="宋体" w:eastAsia="宋体" w:cs="宋体"/>
          <w:kern w:val="0"/>
          <w:sz w:val="28"/>
          <w:szCs w:val="28"/>
          <w:lang w:val="en-US" w:eastAsia="zh-CN" w:bidi="ar"/>
        </w:rPr>
      </w:pPr>
      <w:r>
        <w:rPr>
          <w:rFonts w:hint="default" w:ascii="宋体" w:hAnsi="宋体" w:eastAsia="宋体" w:cs="宋体"/>
          <w:kern w:val="0"/>
          <w:sz w:val="28"/>
          <w:szCs w:val="28"/>
          <w:lang w:val="en-US" w:eastAsia="zh-CN" w:bidi="ar"/>
        </w:rPr>
        <w:t>“电竞产业+科技”跨学科人才培养是电竞行业在中国式现代化进程中实现产业升级与赛事国际化的重大需求。习近平总书记在多次讲话中强调，要促进科技与体育、文化等产业的深度融合。因此，我们必须充分利用学科交叉融合的“加速器”，强化基础学科支撑，勇于打破传统学科界限，对现有电竞教育体系进行革新升级，紧跟科技前沿，推进电竞与新工科、新媒体、新管理等领域的融合，加速培养适应电竞行业快速发展需求的高素质技术型紧缺人才。</w:t>
      </w:r>
    </w:p>
    <w:p w14:paraId="62DEAA90">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DFDFE"/>
        <w:spacing w:before="210" w:beforeAutospacing="0" w:after="0" w:afterAutospacing="0" w:line="26" w:lineRule="atLeast"/>
        <w:ind w:left="0" w:right="0" w:firstLine="560" w:firstLineChars="200"/>
        <w:rPr>
          <w:rFonts w:hint="default" w:ascii="宋体" w:hAnsi="宋体" w:eastAsia="宋体" w:cs="宋体"/>
          <w:kern w:val="0"/>
          <w:sz w:val="28"/>
          <w:szCs w:val="28"/>
          <w:lang w:val="en-US" w:eastAsia="zh-CN" w:bidi="ar"/>
        </w:rPr>
      </w:pPr>
      <w:r>
        <w:rPr>
          <w:rFonts w:hint="default" w:ascii="宋体" w:hAnsi="宋体" w:eastAsia="宋体" w:cs="宋体"/>
          <w:kern w:val="0"/>
          <w:sz w:val="28"/>
          <w:szCs w:val="28"/>
          <w:lang w:val="en-US" w:eastAsia="zh-CN" w:bidi="ar"/>
        </w:rPr>
        <w:t>面对科技迭代与电竞产业日新月异的挑战，电竞专业应以“电竞产业+科技”人才培养模式的探索，促进与计算机科学、数据分析、传媒学等相关学科的深度融合，现已步入与人工智能技术、虚拟现实技术同步演进，与电竞产业链上下游高度协同的新阶段。培养数智化时代“新电竞”复合型、应用型的拔尖创新人才，已成为电竞学科教育的核心任务。为此，如何快速构建新时代“电竞产业+科技”人才培养的顶层设计方案，完善“电竞产业+科技”能力培养的课程体系，探索“电竞产业+科技”人才协同培养的创新机制，成为亟待研究与优化的关键问题。</w:t>
      </w:r>
    </w:p>
    <w:p w14:paraId="3A922652">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DFDFE"/>
        <w:spacing w:before="210" w:beforeAutospacing="0" w:after="0" w:afterAutospacing="0" w:line="26" w:lineRule="atLeast"/>
        <w:ind w:left="0" w:right="0" w:firstLine="560" w:firstLineChars="200"/>
        <w:rPr>
          <w:rFonts w:hint="default" w:ascii="宋体" w:hAnsi="宋体" w:eastAsia="宋体" w:cs="宋体"/>
          <w:kern w:val="0"/>
          <w:sz w:val="28"/>
          <w:szCs w:val="28"/>
          <w:lang w:val="en-US" w:eastAsia="zh-CN" w:bidi="ar"/>
        </w:rPr>
      </w:pPr>
      <w:r>
        <w:rPr>
          <w:rFonts w:hint="default" w:ascii="宋体" w:hAnsi="宋体" w:eastAsia="宋体" w:cs="宋体"/>
          <w:kern w:val="0"/>
          <w:sz w:val="28"/>
          <w:szCs w:val="28"/>
          <w:lang w:val="en-US" w:eastAsia="zh-CN" w:bidi="ar"/>
        </w:rPr>
        <w:t>新电竞学科建设旨在培养具有国际视野、创新能力、技术素养的电竞专业人才，它以传承和创新电竞文化为基础，通过推动电竞教育的跨界融合，打破学科壁垒，实现电竞与计算机科学、传媒学、管理学等多学科的交叉融合，构建新的学科框架和知识体系；同时，积极运用大数据、人工智能等新技术，开拓电竞教育的新领域，以服务国家战略需求电竞产业发展为导向，以培养高素质电竞人才为目标，为电竞行业的蓬勃发展和国际竞争力的提升贡献智慧与力量。</w:t>
      </w:r>
    </w:p>
    <w:p w14:paraId="5EC12F67">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DFDFE"/>
        <w:spacing w:before="210" w:beforeAutospacing="0" w:after="0" w:afterAutospacing="0" w:line="26" w:lineRule="atLeast"/>
        <w:ind w:left="0" w:right="0" w:firstLine="560" w:firstLineChars="200"/>
        <w:rPr>
          <w:rFonts w:hint="default" w:ascii="宋体" w:hAnsi="宋体" w:eastAsia="宋体" w:cs="宋体"/>
          <w:kern w:val="0"/>
          <w:sz w:val="28"/>
          <w:szCs w:val="28"/>
          <w:lang w:val="en-US" w:eastAsia="zh-CN" w:bidi="ar"/>
        </w:rPr>
      </w:pPr>
      <w:r>
        <w:rPr>
          <w:rFonts w:hint="default" w:ascii="宋体" w:hAnsi="宋体" w:eastAsia="宋体" w:cs="宋体"/>
          <w:kern w:val="0"/>
          <w:sz w:val="28"/>
          <w:szCs w:val="28"/>
          <w:lang w:val="en-US" w:eastAsia="zh-CN" w:bidi="ar"/>
        </w:rPr>
        <w:t>因此，大力发展电竞产业，首要任务是培养具有多学科交叉背景的电竞专业管理人才。我校开设</w:t>
      </w:r>
      <w:r>
        <w:rPr>
          <w:rFonts w:hint="eastAsia" w:ascii="宋体" w:hAnsi="宋体" w:eastAsia="宋体" w:cs="宋体"/>
          <w:kern w:val="0"/>
          <w:sz w:val="28"/>
          <w:szCs w:val="28"/>
          <w:lang w:val="en-US" w:eastAsia="zh-CN" w:bidi="ar"/>
        </w:rPr>
        <w:t>电子竞技运动与管理专业（专升本）</w:t>
      </w:r>
      <w:r>
        <w:rPr>
          <w:rFonts w:hint="default" w:ascii="宋体" w:hAnsi="宋体" w:eastAsia="宋体" w:cs="宋体"/>
          <w:kern w:val="0"/>
          <w:sz w:val="28"/>
          <w:szCs w:val="28"/>
          <w:lang w:val="en-US" w:eastAsia="zh-CN" w:bidi="ar"/>
        </w:rPr>
        <w:t>，正是为了满足国内外电竞行业对高素质、应用型电竞管理人才的迫切需求。</w:t>
      </w:r>
    </w:p>
    <w:p w14:paraId="000949D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Segoe UI">
    <w:panose1 w:val="020B0502040204020203"/>
    <w:charset w:val="00"/>
    <w:family w:val="auto"/>
    <w:pitch w:val="default"/>
    <w:sig w:usb0="E4002EFF" w:usb1="C000E47F"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D7C0A21"/>
    <w:rsid w:val="15B50D11"/>
    <w:rsid w:val="23071E42"/>
    <w:rsid w:val="2B964CE9"/>
    <w:rsid w:val="4D7C0A21"/>
    <w:rsid w:val="56356D29"/>
    <w:rsid w:val="5D323FC2"/>
    <w:rsid w:val="7AEE5B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widowControl/>
      <w:spacing w:beforeAutospacing="1" w:afterAutospacing="1"/>
      <w:jc w:val="left"/>
    </w:pPr>
    <w:rPr>
      <w:rFonts w:hint="eastAsia" w:ascii="宋体" w:hAnsi="宋体" w:eastAsia="宋体" w:cs="Times New Roman"/>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4529</Words>
  <Characters>4583</Characters>
  <Lines>0</Lines>
  <Paragraphs>0</Paragraphs>
  <TotalTime>1</TotalTime>
  <ScaleCrop>false</ScaleCrop>
  <LinksUpToDate>false</LinksUpToDate>
  <CharactersWithSpaces>4586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2024-12-09T02:10:00Z</dcterms:created>
  <dc:creator>王大猫</dc:creator>
  <cp:lastModifiedBy>请修订：</cp:lastModifiedBy>
  <dcterms:modified xsi:type="dcterms:W3CDTF">2025-02-04T13:07:48Z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5408587539014B5F8ECC0E87040ABBAD_11</vt:lpwstr>
  </property>
  <property fmtid="{D5CDD505-2E9C-101B-9397-08002B2CF9AE}" pid="4" name="KSOTemplateDocerSaveRecord">
    <vt:lpwstr>eyJoZGlkIjoiMWU2Y2ZiNmI2Y2IyZThkMzk0NGIyZGE4ZTUxMjk0OWUiLCJ1c2VySWQiOiIyOTE1ODM5NDcifQ==</vt:lpwstr>
  </property>
</Properties>
</file>