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26DA5F">
      <w:pPr>
        <w:rPr>
          <w:rFonts w:ascii="Times New Roman" w:hAnsi="Times New Roman" w:cs="Times New Roman"/>
        </w:rPr>
      </w:pPr>
    </w:p>
    <w:p w14:paraId="1A6FCF83">
      <w:pPr>
        <w:rPr>
          <w:rFonts w:ascii="Times New Roman" w:hAnsi="Times New Roman" w:cs="Times New Roman"/>
        </w:rPr>
      </w:pPr>
    </w:p>
    <w:p w14:paraId="588118B7">
      <w:pPr>
        <w:rPr>
          <w:rFonts w:ascii="Times New Roman" w:hAnsi="Times New Roman" w:cs="Times New Roman"/>
        </w:rPr>
      </w:pPr>
    </w:p>
    <w:p w14:paraId="4C14CA3A">
      <w:pPr>
        <w:rPr>
          <w:rFonts w:ascii="Times New Roman" w:hAnsi="Times New Roman" w:cs="Times New Roman"/>
        </w:rPr>
      </w:pPr>
    </w:p>
    <w:p w14:paraId="083CCE7D">
      <w:pPr>
        <w:rPr>
          <w:rFonts w:ascii="Times New Roman" w:hAnsi="Times New Roman" w:cs="Times New Roman"/>
        </w:rPr>
      </w:pPr>
    </w:p>
    <w:p w14:paraId="55744F7D">
      <w:pPr>
        <w:rPr>
          <w:rFonts w:ascii="Times New Roman" w:hAnsi="Times New Roman" w:cs="Times New Roman"/>
        </w:rPr>
      </w:pPr>
    </w:p>
    <w:p w14:paraId="1439DE6F">
      <w:pPr>
        <w:rPr>
          <w:rFonts w:ascii="Times New Roman" w:hAnsi="Times New Roman" w:cs="Times New Roman"/>
        </w:rPr>
      </w:pPr>
    </w:p>
    <w:p w14:paraId="775C0747">
      <w:pPr>
        <w:rPr>
          <w:rFonts w:ascii="Times New Roman" w:hAnsi="Times New Roman" w:cs="Times New Roman"/>
        </w:rPr>
      </w:pPr>
    </w:p>
    <w:p w14:paraId="20BEBD67">
      <w:pPr>
        <w:rPr>
          <w:rFonts w:ascii="Times New Roman" w:hAnsi="Times New Roman" w:cs="Times New Roman"/>
        </w:rPr>
      </w:pPr>
    </w:p>
    <w:p w14:paraId="480EF1D1">
      <w:pPr>
        <w:rPr>
          <w:rFonts w:ascii="Times New Roman" w:hAnsi="Times New Roman" w:cs="Times New Roman"/>
        </w:rPr>
      </w:pPr>
    </w:p>
    <w:p w14:paraId="6CFBD6D9">
      <w:pPr>
        <w:rPr>
          <w:rFonts w:ascii="Times New Roman" w:hAnsi="Times New Roman" w:cs="Times New Roman"/>
        </w:rPr>
      </w:pPr>
    </w:p>
    <w:p w14:paraId="3F2843C7">
      <w:pPr>
        <w:pStyle w:val="2"/>
        <w:jc w:val="center"/>
        <w:rPr>
          <w:rFonts w:hint="eastAsia" w:ascii="黑体" w:hAnsi="黑体" w:eastAsia="黑体" w:cs="黑体"/>
          <w:b w:val="0"/>
          <w:bCs w:val="0"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52"/>
          <w:szCs w:val="52"/>
        </w:rPr>
        <w:t>齐鲁工业大学</w:t>
      </w:r>
      <w:r>
        <w:rPr>
          <w:rFonts w:hint="eastAsia" w:ascii="黑体" w:hAnsi="黑体" w:eastAsia="黑体" w:cs="黑体"/>
          <w:b w:val="0"/>
          <w:bCs w:val="0"/>
          <w:sz w:val="52"/>
          <w:szCs w:val="52"/>
          <w:lang w:val="en-US" w:eastAsia="zh-CN"/>
        </w:rPr>
        <w:t>高等学历继续教育</w:t>
      </w:r>
    </w:p>
    <w:p w14:paraId="28501FBE">
      <w:pPr>
        <w:pStyle w:val="2"/>
        <w:jc w:val="center"/>
        <w:rPr>
          <w:rFonts w:hint="eastAsia" w:ascii="黑体" w:hAnsi="黑体" w:eastAsia="黑体" w:cs="黑体"/>
          <w:b w:val="0"/>
          <w:bCs w:val="0"/>
          <w:sz w:val="52"/>
          <w:szCs w:val="5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52"/>
          <w:szCs w:val="52"/>
          <w:lang w:val="en-US" w:eastAsia="zh-CN"/>
        </w:rPr>
        <w:t>金融科技</w:t>
      </w:r>
      <w:r>
        <w:rPr>
          <w:rFonts w:hint="eastAsia" w:ascii="黑体" w:hAnsi="黑体" w:eastAsia="黑体" w:cs="黑体"/>
          <w:b w:val="0"/>
          <w:bCs w:val="0"/>
          <w:sz w:val="52"/>
          <w:szCs w:val="52"/>
        </w:rPr>
        <w:t>专业</w:t>
      </w:r>
      <w:r>
        <w:rPr>
          <w:rFonts w:hint="eastAsia" w:ascii="黑体" w:hAnsi="黑体" w:eastAsia="黑体" w:cs="黑体"/>
          <w:b w:val="0"/>
          <w:bCs w:val="0"/>
          <w:sz w:val="52"/>
          <w:szCs w:val="52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z w:val="52"/>
          <w:szCs w:val="52"/>
          <w:lang w:val="en-US" w:eastAsia="zh-CN"/>
        </w:rPr>
        <w:t>高起本</w:t>
      </w:r>
      <w:r>
        <w:rPr>
          <w:rFonts w:hint="eastAsia" w:ascii="黑体" w:hAnsi="黑体" w:eastAsia="黑体" w:cs="黑体"/>
          <w:b w:val="0"/>
          <w:bCs w:val="0"/>
          <w:sz w:val="52"/>
          <w:szCs w:val="52"/>
          <w:lang w:eastAsia="zh-CN"/>
        </w:rPr>
        <w:t>）</w:t>
      </w:r>
    </w:p>
    <w:p w14:paraId="77CB7D15">
      <w:pPr>
        <w:pStyle w:val="2"/>
        <w:jc w:val="center"/>
        <w:rPr>
          <w:rFonts w:hint="eastAsia" w:ascii="黑体" w:hAnsi="黑体" w:eastAsia="黑体" w:cs="黑体"/>
          <w:b w:val="0"/>
          <w:bCs w:val="0"/>
          <w:sz w:val="52"/>
          <w:szCs w:val="52"/>
        </w:rPr>
      </w:pPr>
      <w:r>
        <w:rPr>
          <w:rFonts w:hint="eastAsia" w:ascii="黑体" w:hAnsi="黑体" w:eastAsia="黑体" w:cs="黑体"/>
          <w:b w:val="0"/>
          <w:bCs w:val="0"/>
          <w:sz w:val="52"/>
          <w:szCs w:val="52"/>
        </w:rPr>
        <w:t>人才需求报告</w:t>
      </w:r>
    </w:p>
    <w:p w14:paraId="253F9C40">
      <w:pPr>
        <w:widowControl/>
        <w:jc w:val="left"/>
        <w:rPr>
          <w:rFonts w:ascii="Times New Roman" w:hAnsi="Times New Roman" w:cs="Times New Roman"/>
          <w:b/>
          <w:bCs/>
          <w:kern w:val="44"/>
          <w:sz w:val="44"/>
          <w:szCs w:val="44"/>
        </w:rPr>
      </w:pPr>
      <w:r>
        <w:rPr>
          <w:rFonts w:ascii="Times New Roman" w:hAnsi="Times New Roman" w:cs="Times New Roman"/>
        </w:rPr>
        <w:br w:type="page"/>
      </w:r>
    </w:p>
    <w:p w14:paraId="72B3BA22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为适应数字经济时代金融行业的深刻变革，满足社会对金融科技复合型人才的迫切需求，推动高等教育与产业发展的深度融合，我校拟开设金融科技专业（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高起本</w:t>
      </w:r>
      <w:r>
        <w:rPr>
          <w:rFonts w:hint="eastAsia" w:ascii="宋体" w:hAnsi="宋体" w:eastAsia="宋体" w:cs="宋体"/>
          <w:sz w:val="28"/>
          <w:szCs w:val="28"/>
        </w:rPr>
        <w:t>）。本报告通过调研金融科技行业发展趋势、区域产业布局及人才需求现状，结合国家战略与地方经济特点，制定科学的人才培养方案，为金融科技专业建设提供依据。</w:t>
      </w:r>
    </w:p>
    <w:p w14:paraId="75918690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562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一、我国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金融科技</w:t>
      </w:r>
      <w:r>
        <w:rPr>
          <w:rFonts w:hint="eastAsia" w:ascii="宋体" w:hAnsi="宋体" w:eastAsia="宋体" w:cs="宋体"/>
          <w:sz w:val="28"/>
          <w:szCs w:val="28"/>
        </w:rPr>
        <w:t>行业的发展现状</w:t>
      </w:r>
    </w:p>
    <w:p w14:paraId="5D2813B7">
      <w:pPr>
        <w:pStyle w:val="13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行业规模与增长</w:t>
      </w:r>
    </w:p>
    <w:p w14:paraId="5D8B9031">
      <w:pPr>
        <w:pStyle w:val="13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近年来，在政策支持、技术创新与市场需求的三重驱动下，中国金融科技市场规模持续扩大。截至2023年，中国金融行业总资产已突破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480</w:t>
      </w:r>
      <w:r>
        <w:rPr>
          <w:rFonts w:hint="eastAsia" w:ascii="宋体" w:hAnsi="宋体" w:eastAsia="宋体" w:cs="宋体"/>
          <w:sz w:val="28"/>
          <w:szCs w:val="28"/>
        </w:rPr>
        <w:t>万亿元人民币，金融科技市场规模达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17427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亿元，移动支付渗透率超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86</w:t>
      </w:r>
      <w:r>
        <w:rPr>
          <w:rFonts w:hint="eastAsia" w:ascii="宋体" w:hAnsi="宋体" w:eastAsia="宋体" w:cs="宋体"/>
          <w:sz w:val="28"/>
          <w:szCs w:val="28"/>
        </w:rPr>
        <w:t>%，区块链、人工智能等技术在供应链金融、智能投顾等领域深度落地。与此同时，全球范围内，美国、中国、英国形成三足鼎立格局，行业竞争从单一技术突破转向生态化、智能化与合规化协同发展。</w:t>
      </w:r>
    </w:p>
    <w:p w14:paraId="0E058EB6">
      <w:pPr>
        <w:pStyle w:val="13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 政策支持与战略布局</w:t>
      </w:r>
    </w:p>
    <w:p w14:paraId="57FE70CB">
      <w:pPr>
        <w:pStyle w:val="13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国家层面高度重视金融科技发展。2022年，国务院印发《“十四五”数字经济发展规划》，明确提出要“深化金融科技应用，推动金融服务智能化、普惠化”。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中国人民银行印发的《金融科技发展规划(2022-2025年)》明确技术伦理与数据安全要求。</w:t>
      </w:r>
      <w:r>
        <w:rPr>
          <w:rFonts w:hint="eastAsia" w:ascii="宋体" w:hAnsi="宋体" w:eastAsia="宋体" w:cs="宋体"/>
          <w:sz w:val="28"/>
          <w:szCs w:val="28"/>
        </w:rPr>
        <w:t>央行联合多部委发布《关于规范金融科技发展的指导意见》，强调加强技术监管与风险防控，鼓励金融机构与科技企业协同创新。此外，北京、上海、深圳等地相继建设金融科技示范区，吸引蚂蚁集团、腾讯金融科技、京东科技等头部企业集聚，形成“技术研发—场景应用—产业生态”的全链条布局。</w:t>
      </w:r>
    </w:p>
    <w:p w14:paraId="3FDB44C0">
      <w:pPr>
        <w:pStyle w:val="13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 技术驱动与产业融合</w:t>
      </w:r>
    </w:p>
    <w:p w14:paraId="0FF8024B">
      <w:pPr>
        <w:pStyle w:val="13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金融科技以人工智能、大数据、区块链、云计算等核心技术为驱动，加速推动行业变革与产业融合。智能风控与客服系统在金融机构中得到广泛应用，多家领先银行通过AI技术显著提升客户服务效率，并在反欺诈领域实现运营效能的全面优化；大数据技术在精准营销与风险评估中的应用，有效促进了中小微企业贷款业务的快速增长；区块链技术深度融入供应链金融与跨境支付体系，不仅降低了企业融资成本，还大幅提升了跨境结算效率。数字人民币试点范围持续扩大，逐步覆盖国内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26个</w:t>
      </w:r>
      <w:r>
        <w:rPr>
          <w:rFonts w:hint="eastAsia" w:ascii="宋体" w:hAnsi="宋体" w:eastAsia="宋体" w:cs="宋体"/>
          <w:sz w:val="28"/>
          <w:szCs w:val="28"/>
        </w:rPr>
        <w:t>城市。在基础设施层面，金融机构核心系统自主化水平显著提升，依托云计算构建的弹性算力体系已具备应对高并发交易的能力，灾备系统稳定性达到行业领先标准。技术创新与实体经济的深度融合，催生了小微企业智慧融资、绿色金融产品创新、数字乡村普惠服务等新兴业态，逐步形成“科技赋能金融、金融反哺实体”的良性发展格局。</w:t>
      </w:r>
    </w:p>
    <w:p w14:paraId="7CB6B376">
      <w:pPr>
        <w:pStyle w:val="13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 人才缺口与挑战</w:t>
      </w:r>
    </w:p>
    <w:p w14:paraId="026FC3D6">
      <w:pPr>
        <w:pStyle w:val="13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金融科技领域正面临严重的人才短缺问题，</w:t>
      </w:r>
      <w:r>
        <w:rPr>
          <w:rFonts w:hint="eastAsia" w:ascii="宋体" w:hAnsi="宋体" w:eastAsia="宋体" w:cs="宋体"/>
          <w:sz w:val="28"/>
          <w:szCs w:val="28"/>
        </w:rPr>
        <w:t>麦肯锡报告指出，传统银行网点业务岗5年内将缩减45%，而金融科技人才缺口达150万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其中既懂金融业务又掌握技术能力的复合型人才尤为稀缺。传统金融机构在数字化转型中面临技术团队建设滞后、跨学科人才储备不足等问题，而新兴金融科技企业对具备产品设计、数据分析、合规管理能力的毕业生需求持续增长。</w:t>
      </w:r>
    </w:p>
    <w:p w14:paraId="00A7BD76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562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二、山东省金融科技行业的发展现状</w:t>
      </w:r>
    </w:p>
    <w:p w14:paraId="7F9D2A75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产业基础与政策支持</w:t>
      </w:r>
    </w:p>
    <w:p w14:paraId="565D311C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山东省作为经济大省，正加速推进金融科技与实体经济的协同发展。2021年，《山东省“十四五”金融业发展规划》提出“建设区域性金融科技中心”目标，重点支持济南、青岛打造金融科技核心区。济南市在金融科技领域有着显著的集聚效应，吸引了众多金融科技企业入驻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青岛金家岭金融区引入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多</w:t>
      </w:r>
      <w:r>
        <w:rPr>
          <w:rFonts w:hint="eastAsia" w:ascii="宋体" w:hAnsi="宋体" w:eastAsia="宋体" w:cs="宋体"/>
          <w:sz w:val="28"/>
          <w:szCs w:val="28"/>
        </w:rPr>
        <w:t>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知名</w:t>
      </w:r>
      <w:r>
        <w:rPr>
          <w:rFonts w:hint="eastAsia" w:ascii="宋体" w:hAnsi="宋体" w:eastAsia="宋体" w:cs="宋体"/>
          <w:sz w:val="28"/>
          <w:szCs w:val="28"/>
        </w:rPr>
        <w:t>头部机构，形成涵盖支付清算、智能投研、监管科技的完整生态链。此外，山东省还出台了一系列政策措施，如《关于强化财政支持培育发展新质生产力的实施方案》等，聚力支持科技创新体系建设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，推动科技与产业深度融合。</w:t>
      </w:r>
    </w:p>
    <w:p w14:paraId="72A79C1C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 区域特色与创新实践</w:t>
      </w:r>
    </w:p>
    <w:p w14:paraId="3EFB4680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济南：依托齐鲁软件园和山东大学金融研究院，聚焦区块链技术与供应链金融应用，落地“泉城链”平台，实现了政府公共数据与金融机构的安全可信共享，缓解了银企间信息不对称问题。</w:t>
      </w:r>
    </w:p>
    <w:p w14:paraId="10296757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青岛：以数字人民币试点为契机，推动跨境金融区块链平台建设，助力上合示范区贸易便利化。</w:t>
      </w:r>
    </w:p>
    <w:p w14:paraId="52DA4EFF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烟台：探索海洋经济与金融科技结合，开发“海洋碳汇金融”产品，支持蓝色经济发展。</w:t>
      </w:r>
    </w:p>
    <w:p w14:paraId="72DC3228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 人才需求与培养短板</w:t>
      </w:r>
    </w:p>
    <w:p w14:paraId="3FFC70C1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山东省金融科技企业普遍反映，现有从业人员中，单一技能型人才占比过高，能够统筹技术开发与金融业务创新的复合型人才不足。省内高校虽已开设金融科技相关课程，但实践教学体系与行业需求存在脱节，毕业生在数据分析工具使用、金融产品设计等领域的实操能力亟待提升。</w:t>
      </w:r>
    </w:p>
    <w:p w14:paraId="52714FD2">
      <w:pPr>
        <w:pStyle w:val="3"/>
        <w:spacing w:before="0" w:after="0"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三、社会需求预测及毕业生就业前景</w:t>
      </w:r>
    </w:p>
    <w:p w14:paraId="571302F0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行业岗位需求分析</w:t>
      </w:r>
    </w:p>
    <w:p w14:paraId="2EDE04B4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金融科技行业岗位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需求日益多元化，</w:t>
      </w:r>
      <w:r>
        <w:rPr>
          <w:rFonts w:hint="eastAsia" w:ascii="宋体" w:hAnsi="宋体" w:eastAsia="宋体" w:cs="宋体"/>
          <w:sz w:val="28"/>
          <w:szCs w:val="28"/>
        </w:rPr>
        <w:t>主要分为以下四类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177B7BF2">
      <w:pPr>
        <w:pStyle w:val="13"/>
        <w:numPr>
          <w:ilvl w:val="0"/>
          <w:numId w:val="1"/>
        </w:num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技术开发类：包括区块链开发工程师、大数据分析专家、AI算法工程师等，专注于技术前沿的创新与应用。</w:t>
      </w:r>
    </w:p>
    <w:p w14:paraId="3A94E9E5">
      <w:pPr>
        <w:pStyle w:val="13"/>
        <w:numPr>
          <w:ilvl w:val="0"/>
          <w:numId w:val="1"/>
        </w:num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业务运营类：如智能风控专家、数字支付产品经理、金融科技合规官，负责业务流程的优化与风险管理。</w:t>
      </w:r>
    </w:p>
    <w:p w14:paraId="26158D0F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研究咨询类：金融科技研究员、行业分析师等，致力于市场趋势分析、策略规划及咨询服务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07A15037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综合管理类：金融科技项目经理、数字化转型顾问，负责项目的策划、执行与监督，推动企业的数字化进程。</w:t>
      </w:r>
    </w:p>
    <w:p w14:paraId="699B85D3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2. 就业前景与竞争优势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分析</w:t>
      </w:r>
    </w:p>
    <w:p w14:paraId="0A8F8A60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）政策导向下的新兴机遇：随着国家“双碳”战略、乡村振兴等政策的深入实施，绿色金融、农村金融科技等领域迎来快速发展，为毕业生提供了广阔的就业空间。</w:t>
      </w:r>
    </w:p>
    <w:p w14:paraId="684972BA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）企业转型的迫切需求：传统金融机构如工商银行、平安集团等纷纷成立金融科技子公司，加速数字化转型，对具备技术背景与金融知识的复合型人才需求激增。</w:t>
      </w:r>
    </w:p>
    <w:p w14:paraId="001A59A8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）区域发展的战略机遇：山东省在“新旧动能转换”战略下，金融科技与实体经济深度融合，特别是在制造业、农业等领域的应用场景不断拓展，为毕业生提供了多样化的职业路径。</w:t>
      </w:r>
    </w:p>
    <w:p w14:paraId="1FD3C7C1">
      <w:pPr>
        <w:pStyle w:val="13"/>
        <w:spacing w:line="360" w:lineRule="auto"/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3.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企业招聘的核心能力要求</w:t>
      </w:r>
    </w:p>
    <w:p w14:paraId="4324CA6E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在金融科技行业的招聘中，企业尤为重视以下几方面的能力。</w:t>
      </w:r>
    </w:p>
    <w:p w14:paraId="0F482911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（1）跨学科知识体系：应聘者需具备金融学、计算机科学、统计学等多领域的知识储备，能够深刻理解金融产品设计与技术实现的内在逻辑。</w:t>
      </w:r>
    </w:p>
    <w:p w14:paraId="4CFA8EA5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（2）技术工具熟练运用：熟练掌握Python、SQL、TensorFlow等数据分析与模型开发工具，是提升工作效率与项目执行能力的关键。</w:t>
      </w:r>
    </w:p>
    <w:p w14:paraId="360526DE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（3）合规与风险意识：深入了解并遵守《数据安全法》《个人信息保护法》等金融监管政策，具备敏锐的风险识别与防控能力。</w:t>
      </w:r>
    </w:p>
    <w:p w14:paraId="64B8C180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（4）创新与实践能力：能够积极参与金融科技项目的开发，运用创新思维解决实际问题，推动业务创新与升级。</w:t>
      </w:r>
    </w:p>
    <w:p w14:paraId="612C7391">
      <w:pPr>
        <w:pStyle w:val="3"/>
        <w:spacing w:before="0" w:after="0" w:line="360" w:lineRule="auto"/>
        <w:ind w:firstLine="562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四、结论</w:t>
      </w:r>
    </w:p>
    <w:p w14:paraId="7B3630B4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金融科技是数字经济时代的核心赛道之一，其发展直接关系到金融行业的效率提升与普惠服务能力。当前，我国金融科技行业正处于高速增长期，技术迭代快、应用场景广、政策支持力度大，但复合型人才短缺问题日益突出。山东省作为区域经济强省，在金融科技产业布局、政策支持及市场需求方面具备显著优势，亟需通过高等教育弥补人才供给短板。</w:t>
      </w:r>
    </w:p>
    <w:p w14:paraId="77562738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我校开设金融科技专业（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高起本</w:t>
      </w:r>
      <w:r>
        <w:rPr>
          <w:rFonts w:hint="eastAsia" w:ascii="宋体" w:hAnsi="宋体" w:eastAsia="宋体" w:cs="宋体"/>
          <w:sz w:val="28"/>
          <w:szCs w:val="28"/>
        </w:rPr>
        <w:t>），旨在培养具备扎实金融理论基础、精通数据分析与信息技术、熟悉行业法规的复合型人才。毕业生可胜任金融机构科技部门、金融科技企业、监管机构等岗位，助力山东省乃至全国金融数字化转型。本专业就业前景广阔，人才需求旺盛，将为区域经济发展提供强有力支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481D0E"/>
    <w:multiLevelType w:val="singleLevel"/>
    <w:tmpl w:val="4F481D0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AxtzA2tDQ3MTcxNDJS0lEKTi0uzszPAykwrAUAopNfuSwAAAA="/>
    <w:docVar w:name="commondata" w:val="eyJoZGlkIjoiMWU2Y2ZiNmI2Y2IyZThkMzk0NGIyZGE4ZTUxMjk0OWUifQ=="/>
  </w:docVars>
  <w:rsids>
    <w:rsidRoot w:val="00AE44FD"/>
    <w:rsid w:val="0000450C"/>
    <w:rsid w:val="000B7C1A"/>
    <w:rsid w:val="001047FF"/>
    <w:rsid w:val="001B024A"/>
    <w:rsid w:val="001D7996"/>
    <w:rsid w:val="002552DF"/>
    <w:rsid w:val="00386EB2"/>
    <w:rsid w:val="003A41D9"/>
    <w:rsid w:val="00433657"/>
    <w:rsid w:val="00467B57"/>
    <w:rsid w:val="004A0175"/>
    <w:rsid w:val="004E7549"/>
    <w:rsid w:val="004F5091"/>
    <w:rsid w:val="00503D90"/>
    <w:rsid w:val="00527083"/>
    <w:rsid w:val="00531FA6"/>
    <w:rsid w:val="00550EAC"/>
    <w:rsid w:val="0057573B"/>
    <w:rsid w:val="005B35CD"/>
    <w:rsid w:val="005E44D8"/>
    <w:rsid w:val="00644C20"/>
    <w:rsid w:val="006D6F5E"/>
    <w:rsid w:val="007348E9"/>
    <w:rsid w:val="00740B4C"/>
    <w:rsid w:val="007C6797"/>
    <w:rsid w:val="0087320C"/>
    <w:rsid w:val="00874254"/>
    <w:rsid w:val="00894159"/>
    <w:rsid w:val="008E49D2"/>
    <w:rsid w:val="0092002A"/>
    <w:rsid w:val="009E7EF6"/>
    <w:rsid w:val="00A0093A"/>
    <w:rsid w:val="00A11720"/>
    <w:rsid w:val="00A43C03"/>
    <w:rsid w:val="00AE2A6E"/>
    <w:rsid w:val="00AE44FD"/>
    <w:rsid w:val="00B7762A"/>
    <w:rsid w:val="00B960F0"/>
    <w:rsid w:val="00BD1330"/>
    <w:rsid w:val="00BD6907"/>
    <w:rsid w:val="00C00F2A"/>
    <w:rsid w:val="00C251A6"/>
    <w:rsid w:val="00C55DD4"/>
    <w:rsid w:val="00CB1698"/>
    <w:rsid w:val="00CD2C65"/>
    <w:rsid w:val="00D12870"/>
    <w:rsid w:val="00DD1422"/>
    <w:rsid w:val="00E33B44"/>
    <w:rsid w:val="00ED083C"/>
    <w:rsid w:val="00F5699D"/>
    <w:rsid w:val="00F8191F"/>
    <w:rsid w:val="0AE64FF6"/>
    <w:rsid w:val="0E42322F"/>
    <w:rsid w:val="136A74E3"/>
    <w:rsid w:val="158E5532"/>
    <w:rsid w:val="19254C81"/>
    <w:rsid w:val="1D1F34C2"/>
    <w:rsid w:val="2161304C"/>
    <w:rsid w:val="2662471E"/>
    <w:rsid w:val="2F601896"/>
    <w:rsid w:val="37204688"/>
    <w:rsid w:val="3787198A"/>
    <w:rsid w:val="3791656C"/>
    <w:rsid w:val="37FB0172"/>
    <w:rsid w:val="38926838"/>
    <w:rsid w:val="3991089E"/>
    <w:rsid w:val="40905D53"/>
    <w:rsid w:val="4504286C"/>
    <w:rsid w:val="48802209"/>
    <w:rsid w:val="4C7C718B"/>
    <w:rsid w:val="53AA4078"/>
    <w:rsid w:val="54587E5A"/>
    <w:rsid w:val="57323399"/>
    <w:rsid w:val="58BC728D"/>
    <w:rsid w:val="592A1C28"/>
    <w:rsid w:val="59DB2A03"/>
    <w:rsid w:val="5C583C5B"/>
    <w:rsid w:val="663F505A"/>
    <w:rsid w:val="720E53BA"/>
    <w:rsid w:val="732E0930"/>
    <w:rsid w:val="745B4580"/>
    <w:rsid w:val="7F2D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9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autoRedefine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标题 2 字符"/>
    <w:basedOn w:val="8"/>
    <w:link w:val="3"/>
    <w:autoRedefine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标题 1 字符"/>
    <w:basedOn w:val="8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1">
    <w:name w:val="页眉 字符"/>
    <w:basedOn w:val="8"/>
    <w:link w:val="5"/>
    <w:autoRedefine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autoRedefine/>
    <w:qFormat/>
    <w:uiPriority w:val="99"/>
    <w:rPr>
      <w:sz w:val="18"/>
      <w:szCs w:val="18"/>
    </w:rPr>
  </w:style>
  <w:style w:type="paragraph" w:styleId="13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2781</Words>
  <Characters>2838</Characters>
  <Lines>16</Lines>
  <Paragraphs>4</Paragraphs>
  <TotalTime>49</TotalTime>
  <ScaleCrop>false</ScaleCrop>
  <LinksUpToDate>false</LinksUpToDate>
  <CharactersWithSpaces>2848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2022-01-13T23:23:00Z</dcterms:created>
  <dc:creator>DELL</dc:creator>
  <cp:lastModifiedBy>小路</cp:lastModifiedBy>
  <dcterms:modified xsi:type="dcterms:W3CDTF">2025-02-20T13:25:30Z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FC6AC1BFF2944022BBE3FADF707C1B12</vt:lpwstr>
  </property>
  <property fmtid="{D5CDD505-2E9C-101B-9397-08002B2CF9AE}" pid="4" name="KSOTemplateDocerSaveRecord">
    <vt:lpwstr>eyJoZGlkIjoiNzg4MTliMWYzYzU4Mjk4OTE3Mzk1OTZmZWIyOThmNjgiLCJ1c2VySWQiOiI0NjI2Mzk0NDgifQ==</vt:lpwstr>
  </property>
</Properties>
</file>